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p>
    <w:p>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深圳市龙华区中心医院2023年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eastAsia="zh-CN"/>
        </w:rPr>
        <w:t>三</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项目编号：LHZXYY-XYHC-2023-</w:t>
      </w:r>
      <w:r>
        <w:rPr>
          <w:rFonts w:hint="eastAsia" w:ascii="宋体" w:hAnsi="宋体" w:eastAsia="宋体" w:cs="宋体"/>
          <w:b/>
          <w:bCs/>
          <w:color w:val="auto"/>
          <w:sz w:val="32"/>
          <w:szCs w:val="32"/>
          <w:highlight w:val="none"/>
        </w:rPr>
        <w:t>0</w:t>
      </w:r>
      <w:r>
        <w:rPr>
          <w:rFonts w:hint="eastAsia" w:ascii="宋体" w:hAnsi="宋体" w:cs="宋体"/>
          <w:b/>
          <w:bCs/>
          <w:color w:val="auto"/>
          <w:sz w:val="32"/>
          <w:szCs w:val="32"/>
          <w:highlight w:val="none"/>
          <w:lang w:val="en-US" w:eastAsia="zh-CN"/>
        </w:rPr>
        <w:t>3</w:t>
      </w:r>
    </w:p>
    <w:p>
      <w:pPr>
        <w:pStyle w:val="8"/>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2023年</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17799732"/>
      <w:bookmarkStart w:id="1" w:name="_Toc58354539"/>
      <w:bookmarkStart w:id="2" w:name="_Toc17800089"/>
      <w:bookmarkStart w:id="3" w:name="_Toc17799794"/>
      <w:bookmarkStart w:id="4" w:name="_Toc17800307"/>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rPr>
        <w:t>受深圳市龙华区中心医院委托</w:t>
      </w:r>
      <w:r>
        <w:rPr>
          <w:rFonts w:ascii="宋体" w:hAnsi="宋体"/>
          <w:color w:val="auto"/>
          <w:sz w:val="21"/>
          <w:szCs w:val="21"/>
        </w:rPr>
        <w:t>，</w:t>
      </w:r>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highlight w:val="none"/>
          <w:lang w:eastAsia="zh-CN"/>
        </w:rPr>
        <w:t>一</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highlight w:val="none"/>
          <w:lang w:eastAsia="zh-CN"/>
        </w:rPr>
        <w:t>三</w:t>
      </w:r>
      <w:r>
        <w:rPr>
          <w:rFonts w:hint="eastAsia" w:ascii="宋体" w:hAnsi="宋体"/>
          <w:color w:val="auto"/>
          <w:sz w:val="21"/>
          <w:szCs w:val="21"/>
          <w:lang w:eastAsia="zh-CN"/>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LHZXYY-XYHC-2023-0</w:t>
      </w:r>
      <w:r>
        <w:rPr>
          <w:rFonts w:hint="eastAsia" w:ascii="宋体" w:hAnsi="宋体"/>
          <w:color w:val="auto"/>
          <w:sz w:val="21"/>
          <w:szCs w:val="21"/>
          <w:highlight w:val="none"/>
          <w:lang w:val="en-US" w:eastAsia="zh-CN"/>
        </w:rPr>
        <w:t>3</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rPr>
      </w:pPr>
      <w:r>
        <w:rPr>
          <w:rFonts w:hint="eastAsia" w:ascii="宋体" w:hAnsi="宋体"/>
          <w:color w:val="auto"/>
          <w:sz w:val="21"/>
          <w:szCs w:val="21"/>
          <w:highlight w:val="none"/>
        </w:rPr>
        <w:t>2023年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23</w:t>
      </w:r>
      <w:r>
        <w:rPr>
          <w:rFonts w:hint="eastAsia" w:ascii="宋体" w:hAnsi="宋体"/>
          <w:color w:val="auto"/>
          <w:sz w:val="21"/>
          <w:szCs w:val="21"/>
          <w:highlight w:val="none"/>
        </w:rPr>
        <w:t>日至2023年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日</w:t>
      </w:r>
      <w:r>
        <w:rPr>
          <w:rFonts w:hint="eastAsia" w:ascii="宋体" w:hAnsi="宋体"/>
          <w:color w:val="auto"/>
          <w:sz w:val="21"/>
          <w:szCs w:val="21"/>
        </w:rPr>
        <w:t>（北京时间）登录深圳</w:t>
      </w:r>
      <w:r>
        <w:rPr>
          <w:rFonts w:hint="eastAsia" w:ascii="宋体" w:hAnsi="宋体"/>
          <w:color w:val="auto"/>
          <w:sz w:val="21"/>
          <w:szCs w:val="21"/>
          <w:lang w:eastAsia="zh-CN"/>
        </w:rPr>
        <w:t>市龙华区中心医院</w:t>
      </w:r>
      <w:r>
        <w:rPr>
          <w:rFonts w:hint="eastAsia" w:ascii="宋体" w:hAnsi="宋体"/>
          <w:color w:val="auto"/>
          <w:sz w:val="21"/>
          <w:szCs w:val="21"/>
        </w:rPr>
        <w:t>（https://www.lhzxyy.cn/）的</w:t>
      </w:r>
      <w:r>
        <w:rPr>
          <w:rFonts w:hint="eastAsia" w:ascii="宋体" w:hAnsi="宋体"/>
          <w:color w:val="auto"/>
          <w:sz w:val="21"/>
          <w:szCs w:val="21"/>
          <w:lang w:eastAsia="zh-CN"/>
        </w:rPr>
        <w:t>医院</w:t>
      </w:r>
      <w:r>
        <w:rPr>
          <w:rFonts w:hint="eastAsia" w:ascii="宋体" w:hAnsi="宋体"/>
          <w:color w:val="auto"/>
          <w:sz w:val="21"/>
          <w:szCs w:val="21"/>
        </w:rPr>
        <w:t>公告栏目下载本项目的采购文件。</w:t>
      </w:r>
    </w:p>
    <w:p>
      <w:pPr>
        <w:spacing w:line="276" w:lineRule="auto"/>
        <w:ind w:left="360"/>
        <w:jc w:val="left"/>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、供应商</w:t>
      </w:r>
      <w:r>
        <w:rPr>
          <w:rFonts w:ascii="宋体" w:hAnsi="宋体"/>
          <w:color w:val="auto"/>
          <w:sz w:val="21"/>
          <w:szCs w:val="21"/>
        </w:rPr>
        <w:t>资格</w:t>
      </w:r>
      <w:r>
        <w:rPr>
          <w:rFonts w:hint="eastAsia" w:ascii="宋体" w:hAnsi="宋体"/>
          <w:color w:val="auto"/>
          <w:sz w:val="21"/>
          <w:szCs w:val="21"/>
        </w:rPr>
        <w:t>要求</w:t>
      </w:r>
      <w:r>
        <w:rPr>
          <w:rFonts w:ascii="宋体" w:hAnsi="宋体"/>
          <w:color w:val="auto"/>
          <w:sz w:val="21"/>
          <w:szCs w:val="21"/>
        </w:rPr>
        <w:t>：</w:t>
      </w:r>
      <w:bookmarkStart w:id="8" w:name="招标邀请供应商资格"/>
      <w:bookmarkEnd w:id="8"/>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rPr>
        <w:t>】</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rPr>
      </w:pPr>
      <w:r>
        <w:rPr>
          <w:rFonts w:hint="eastAsia" w:ascii="宋体" w:hAnsi="宋体"/>
          <w:color w:val="auto"/>
          <w:sz w:val="21"/>
          <w:szCs w:val="21"/>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4</w:t>
      </w:r>
      <w:r>
        <w:rPr>
          <w:rFonts w:hint="eastAsia" w:ascii="宋体" w:hAnsi="宋体"/>
          <w:color w:val="auto"/>
          <w:sz w:val="21"/>
          <w:szCs w:val="21"/>
        </w:rPr>
        <w:t>）本项目不接受联合体形式参与谈判。</w:t>
      </w:r>
    </w:p>
    <w:p>
      <w:pPr>
        <w:spacing w:line="276" w:lineRule="auto"/>
        <w:ind w:firstLine="420" w:firstLineChars="200"/>
        <w:jc w:val="left"/>
        <w:rPr>
          <w:rFonts w:ascii="宋体" w:hAnsi="宋体"/>
          <w:color w:val="auto"/>
          <w:sz w:val="21"/>
          <w:szCs w:val="21"/>
        </w:rPr>
      </w:pPr>
      <w:r>
        <w:rPr>
          <w:rFonts w:ascii="宋体" w:hAnsi="宋体"/>
          <w:color w:val="auto"/>
          <w:sz w:val="21"/>
          <w:szCs w:val="21"/>
        </w:rPr>
        <w:t>6</w:t>
      </w:r>
      <w:r>
        <w:rPr>
          <w:rFonts w:hint="eastAsia" w:ascii="宋体" w:hAnsi="宋体"/>
          <w:color w:val="auto"/>
          <w:sz w:val="21"/>
          <w:szCs w:val="21"/>
        </w:rPr>
        <w:t>、现场报名及审核：</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w:t>
      </w:r>
      <w:r>
        <w:rPr>
          <w:rFonts w:hint="eastAsia" w:ascii="宋体" w:hAnsi="宋体"/>
          <w:b/>
          <w:bCs/>
          <w:color w:val="auto"/>
          <w:sz w:val="21"/>
          <w:szCs w:val="21"/>
        </w:rPr>
        <w:t>现场报名时要求提供上述“5、供应商资格要求”中第（1）、（2）项要求的纸质资料，以及</w:t>
      </w:r>
      <w:r>
        <w:rPr>
          <w:rFonts w:ascii="宋体" w:hAnsi="宋体"/>
          <w:b/>
          <w:bCs/>
          <w:color w:val="auto"/>
          <w:sz w:val="21"/>
          <w:szCs w:val="21"/>
        </w:rPr>
        <w:t>法定代表人资格证明书</w:t>
      </w:r>
      <w:r>
        <w:rPr>
          <w:rFonts w:hint="eastAsia" w:ascii="宋体" w:hAnsi="宋体"/>
          <w:b/>
          <w:bCs/>
          <w:color w:val="auto"/>
          <w:sz w:val="21"/>
          <w:szCs w:val="21"/>
        </w:rPr>
        <w:t>（加盖公章）</w:t>
      </w:r>
      <w:r>
        <w:rPr>
          <w:rFonts w:ascii="宋体" w:hAnsi="宋体"/>
          <w:b/>
          <w:bCs/>
          <w:color w:val="auto"/>
          <w:sz w:val="21"/>
          <w:szCs w:val="21"/>
        </w:rPr>
        <w:t>、</w:t>
      </w:r>
      <w:r>
        <w:rPr>
          <w:rFonts w:hint="eastAsia" w:ascii="宋体" w:hAnsi="宋体"/>
          <w:b/>
          <w:bCs/>
          <w:color w:val="auto"/>
          <w:sz w:val="21"/>
          <w:szCs w:val="21"/>
        </w:rPr>
        <w:t>授权委托书（加盖公章）、个人身份证明（复印件留存，原件验后退回）；只有现场报名并通过资料审核的供应商才能参与谈判</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rPr>
        <w:t>（2）</w:t>
      </w:r>
      <w:r>
        <w:rPr>
          <w:rFonts w:hint="eastAsia" w:ascii="宋体" w:hAnsi="宋体"/>
          <w:b/>
          <w:bCs/>
          <w:color w:val="auto"/>
          <w:sz w:val="21"/>
          <w:szCs w:val="21"/>
        </w:rPr>
        <w:t>报名地点：</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30</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23</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23年</w:t>
      </w:r>
      <w:r>
        <w:rPr>
          <w:rFonts w:hint="eastAsia" w:ascii="宋体" w:hAnsi="宋体"/>
          <w:color w:val="auto"/>
          <w:sz w:val="21"/>
          <w:szCs w:val="21"/>
          <w:highlight w:val="none"/>
          <w:u w:val="single"/>
          <w:lang w:val="en-US" w:eastAsia="zh-CN"/>
        </w:rPr>
        <w:t>5</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31</w:t>
      </w:r>
      <w:r>
        <w:rPr>
          <w:rFonts w:ascii="宋体" w:hAnsi="宋体"/>
          <w:color w:val="auto"/>
          <w:sz w:val="21"/>
          <w:szCs w:val="21"/>
          <w:highlight w:val="none"/>
          <w:u w:val="single"/>
        </w:rPr>
        <w:t>日</w:t>
      </w:r>
      <w:r>
        <w:rPr>
          <w:rFonts w:hint="eastAsia" w:ascii="宋体" w:hAnsi="宋体"/>
          <w:color w:val="auto"/>
          <w:sz w:val="21"/>
          <w:szCs w:val="21"/>
          <w:highlight w:val="none"/>
        </w:rPr>
        <w:t>09:</w:t>
      </w:r>
      <w:r>
        <w:rPr>
          <w:rFonts w:hint="eastAsia" w:ascii="宋体" w:hAnsi="宋体"/>
          <w:color w:val="auto"/>
          <w:sz w:val="21"/>
          <w:szCs w:val="21"/>
          <w:highlight w:val="none"/>
          <w:lang w:val="en-US" w:eastAsia="zh-CN"/>
        </w:rPr>
        <w:t>0</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23</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31</w:t>
      </w:r>
      <w:r>
        <w:rPr>
          <w:rFonts w:ascii="宋体" w:hAnsi="宋体"/>
          <w:b/>
          <w:bCs/>
          <w:color w:val="auto"/>
          <w:sz w:val="21"/>
          <w:szCs w:val="21"/>
          <w:highlight w:val="none"/>
          <w:u w:val="single"/>
        </w:rPr>
        <w:t>日</w:t>
      </w:r>
      <w:r>
        <w:rPr>
          <w:rFonts w:hint="eastAsia" w:ascii="宋体" w:hAnsi="宋体"/>
          <w:b/>
          <w:bCs/>
          <w:color w:val="auto"/>
          <w:sz w:val="21"/>
          <w:szCs w:val="21"/>
          <w:highlight w:val="none"/>
        </w:rPr>
        <w:t>09:</w:t>
      </w:r>
      <w:r>
        <w:rPr>
          <w:rFonts w:hint="eastAsia" w:ascii="宋体" w:hAnsi="宋体"/>
          <w:b/>
          <w:bCs/>
          <w:color w:val="auto"/>
          <w:sz w:val="21"/>
          <w:szCs w:val="21"/>
          <w:highlight w:val="none"/>
          <w:lang w:val="en-US" w:eastAsia="zh-CN"/>
        </w:rPr>
        <w:t>0</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23年</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31</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市龙华区中心医院杏林轩</w:t>
      </w:r>
      <w:r>
        <w:rPr>
          <w:rFonts w:hint="eastAsia" w:ascii="宋体" w:hAnsi="宋体"/>
          <w:b/>
          <w:bCs/>
          <w:color w:val="auto"/>
          <w:sz w:val="21"/>
          <w:szCs w:val="21"/>
          <w:highlight w:val="none"/>
          <w:u w:val="single"/>
          <w:lang w:val="en-US" w:eastAsia="zh-CN"/>
        </w:rPr>
        <w:t>12栋2楼设备科会议室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w:t>
      </w:r>
      <w:r>
        <w:rPr>
          <w:rFonts w:hint="eastAsia" w:ascii="宋体" w:hAnsi="宋体"/>
          <w:color w:val="auto"/>
          <w:sz w:val="21"/>
          <w:szCs w:val="21"/>
        </w:rPr>
        <w:t>应商谈判代表和谈判小组成员到谈判现场填写谈判登记表，并交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深圳市龙华区中心医院杏林轩</w:t>
      </w:r>
      <w:r>
        <w:rPr>
          <w:rFonts w:hint="eastAsia" w:ascii="宋体" w:hAnsi="宋体"/>
          <w:b w:val="0"/>
          <w:bCs w:val="0"/>
          <w:color w:val="auto"/>
          <w:sz w:val="21"/>
          <w:szCs w:val="21"/>
          <w:highlight w:val="none"/>
          <w:u w:val="none"/>
          <w:lang w:val="en-US" w:eastAsia="zh-CN"/>
        </w:rPr>
        <w:t>12栋2楼设备科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肖</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23772842</w:t>
      </w:r>
    </w:p>
    <w:p>
      <w:pPr>
        <w:pStyle w:val="8"/>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ascii="宋体" w:hAnsi="宋体"/>
          <w:color w:val="auto"/>
          <w:sz w:val="21"/>
          <w:szCs w:val="21"/>
          <w:highlight w:val="none"/>
        </w:rPr>
        <w:t>3年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23</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35"/>
      <w:bookmarkStart w:id="12" w:name="_Toc17799797"/>
      <w:bookmarkStart w:id="13" w:name="_Toc17800092"/>
      <w:bookmarkStart w:id="14" w:name="_Toc17800310"/>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2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7"/>
        <w:gridCol w:w="625"/>
        <w:gridCol w:w="1782"/>
        <w:gridCol w:w="1549"/>
        <w:gridCol w:w="1155"/>
        <w:gridCol w:w="750"/>
        <w:gridCol w:w="990"/>
        <w:gridCol w:w="1230"/>
        <w:gridCol w:w="1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A</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穿戴式心电传感器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sz w:val="21"/>
                <w:szCs w:val="21"/>
              </w:rPr>
              <w:t>索思（苏州）</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sz w:val="21"/>
                <w:szCs w:val="21"/>
              </w:rPr>
              <w:t>TES010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袋</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1200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330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新生儿复苏球囊</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sz w:val="21"/>
                <w:szCs w:val="21"/>
                <w:lang w:val="en-US" w:eastAsia="zh-CN"/>
              </w:rPr>
            </w:pPr>
            <w:r>
              <w:rPr>
                <w:rFonts w:hint="eastAsia" w:ascii="宋体" w:hAnsi="宋体" w:eastAsia="宋体" w:cs="宋体"/>
                <w:i w:val="0"/>
                <w:iCs w:val="0"/>
                <w:color w:val="000000"/>
                <w:kern w:val="0"/>
                <w:sz w:val="20"/>
                <w:szCs w:val="20"/>
                <w:u w:val="none"/>
                <w:lang w:val="en-US" w:eastAsia="zh-CN" w:bidi="ar"/>
              </w:rPr>
              <w:t>远大科技</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eastAsia="宋体" w:cs="宋体"/>
                <w:i w:val="0"/>
                <w:iCs w:val="0"/>
                <w:color w:val="000000"/>
                <w:kern w:val="0"/>
                <w:sz w:val="20"/>
                <w:szCs w:val="20"/>
                <w:u w:val="none"/>
                <w:lang w:val="en-US" w:eastAsia="zh-CN" w:bidi="ar"/>
              </w:rPr>
              <w:t>JS637/W71100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sz w:val="21"/>
                <w:szCs w:val="21"/>
                <w:u w:val="none"/>
                <w:lang w:val="en-US" w:eastAsia="zh-CN"/>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医用纱布垫</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0"/>
                <w:szCs w:val="20"/>
                <w:u w:val="none"/>
                <w:lang w:val="en-US" w:eastAsia="zh-CN" w:bidi="ar"/>
              </w:rPr>
              <w:t>河南康尔健医疗科技有限公司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eastAsia="宋体" w:cs="宋体"/>
                <w:i w:val="0"/>
                <w:iCs w:val="0"/>
                <w:color w:val="000000"/>
                <w:kern w:val="0"/>
                <w:sz w:val="20"/>
                <w:szCs w:val="20"/>
                <w:u w:val="none"/>
                <w:lang w:val="en-US" w:eastAsia="zh-CN" w:bidi="ar"/>
              </w:rPr>
              <w:t xml:space="preserve">6cm*200cm*6 </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0"/>
                <w:szCs w:val="20"/>
                <w:u w:val="none"/>
                <w:lang w:val="en-US" w:eastAsia="zh-CN" w:bidi="ar"/>
              </w:rPr>
              <w:t>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11.28</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一次性使用护脐包</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0"/>
                <w:szCs w:val="20"/>
                <w:u w:val="none"/>
                <w:lang w:val="en-US" w:eastAsia="zh-CN" w:bidi="ar"/>
              </w:rPr>
              <w:t>河南康尔健医疗科技有限公司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0"/>
                <w:szCs w:val="20"/>
                <w:u w:val="none"/>
                <w:lang w:val="en-US" w:eastAsia="zh-CN" w:bidi="ar"/>
              </w:rPr>
              <w:t>I型</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850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可吸收胶原蛋白缝合线</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eastAsia="宋体" w:cs="宋体"/>
                <w:i w:val="0"/>
                <w:iCs w:val="0"/>
                <w:color w:val="000000"/>
                <w:kern w:val="0"/>
                <w:sz w:val="20"/>
                <w:szCs w:val="20"/>
                <w:u w:val="none"/>
                <w:lang w:val="en-US" w:eastAsia="zh-CN" w:bidi="ar"/>
              </w:rPr>
              <w:t>湖南然元</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0"/>
                <w:szCs w:val="20"/>
                <w:u w:val="none"/>
                <w:lang w:val="en-US" w:eastAsia="zh-CN" w:bidi="ar"/>
              </w:rPr>
              <w:t>20cm（0、2-0、3-0、4-0、5-0）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000000"/>
                <w:kern w:val="0"/>
                <w:sz w:val="20"/>
                <w:szCs w:val="20"/>
                <w:u w:val="none"/>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300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440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可吸收胶原蛋白缝合线</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湖南然元</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eastAsia="宋体"/>
                <w:lang w:val="en-US" w:eastAsia="zh-CN"/>
              </w:rPr>
            </w:pPr>
            <w:r>
              <w:rPr>
                <w:rFonts w:hint="eastAsia" w:ascii="宋体" w:hAnsi="宋体" w:eastAsia="宋体" w:cs="宋体"/>
                <w:i w:val="0"/>
                <w:iCs w:val="0"/>
                <w:color w:val="000000"/>
                <w:kern w:val="0"/>
                <w:sz w:val="20"/>
                <w:szCs w:val="20"/>
                <w:u w:val="none"/>
                <w:lang w:val="en-US" w:eastAsia="zh-CN" w:bidi="ar"/>
              </w:rPr>
              <w:t>25cm（0、2-0、3-0、4-0、5-0）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000000"/>
                <w:kern w:val="0"/>
                <w:sz w:val="20"/>
                <w:szCs w:val="20"/>
                <w:u w:val="none"/>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300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550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可吸收胶原蛋白缝合线</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0"/>
                <w:szCs w:val="20"/>
                <w:u w:val="none"/>
                <w:lang w:val="en-US" w:eastAsia="zh-CN" w:bidi="ar"/>
              </w:rPr>
              <w:t>湖南然元</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0"/>
                <w:szCs w:val="20"/>
                <w:u w:val="none"/>
                <w:lang w:val="en-US" w:eastAsia="zh-CN" w:bidi="ar"/>
              </w:rPr>
              <w:t>15cm（0、2-0、3-0、4-0、5-0）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sz w:val="21"/>
                <w:szCs w:val="21"/>
                <w:u w:val="none"/>
                <w:lang w:val="en-US" w:eastAsia="zh-CN"/>
              </w:rPr>
            </w:pPr>
            <w:r>
              <w:rPr>
                <w:rFonts w:hint="eastAsia" w:ascii="宋体" w:hAnsi="宋体" w:cs="宋体"/>
                <w:i w:val="0"/>
                <w:iCs w:val="0"/>
                <w:color w:val="000000"/>
                <w:kern w:val="0"/>
                <w:sz w:val="20"/>
                <w:szCs w:val="20"/>
                <w:u w:val="none"/>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300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330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E</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一次性可吸收钉皮内吻合器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sz w:val="21"/>
                <w:szCs w:val="21"/>
              </w:rPr>
            </w:pPr>
            <w:r>
              <w:rPr>
                <w:rFonts w:hint="eastAsia"/>
                <w:sz w:val="21"/>
                <w:szCs w:val="21"/>
              </w:rPr>
              <w:t>北京颐合恒瑞</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sz w:val="21"/>
                <w:szCs w:val="21"/>
                <w:lang w:val="en-US" w:eastAsia="zh-CN"/>
              </w:rPr>
              <w:t>s1027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1290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E</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一次性可吸收钉皮内吻合器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sz w:val="21"/>
                <w:szCs w:val="21"/>
              </w:rPr>
            </w:pPr>
            <w:r>
              <w:rPr>
                <w:rFonts w:hint="eastAsia"/>
                <w:sz w:val="21"/>
                <w:szCs w:val="21"/>
              </w:rPr>
              <w:t>北京颐合恒瑞</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sz w:val="21"/>
                <w:szCs w:val="21"/>
              </w:rPr>
            </w:pPr>
            <w:r>
              <w:rPr>
                <w:rFonts w:hint="eastAsia"/>
                <w:sz w:val="21"/>
                <w:szCs w:val="21"/>
              </w:rPr>
              <w:t>s1030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1490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F</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颅内支架系统Neuroform Atlas Stent System</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0"/>
                <w:szCs w:val="20"/>
                <w:u w:val="none"/>
                <w:lang w:val="en-US" w:eastAsia="zh-CN" w:bidi="ar"/>
              </w:rPr>
              <w:t>美国史赛克</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0"/>
                <w:szCs w:val="20"/>
                <w:u w:val="none"/>
                <w:lang w:val="en-US" w:eastAsia="zh-CN" w:bidi="ar"/>
              </w:rPr>
              <w:t>M003EZAS45300、M003EZAS40150、M003EZAS45150、M003EZAS45210、M003EZAS30240、M003EZAS30210、M003EZAS40300、M003EZAS40210、M003EZAS30150、M003EZAS40240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45600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F</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导丝Synchro2 Support Guidewire</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美国史赛克</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S2SPP14215、S2SPP14300、S2SPS14215、S2SPS14300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7320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F</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微导管 Excelsior XT-17 Microcatheter</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美国史赛克</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C17750J、C17150J、C177545、C177590、C1775ST、C1715ST、C171545、C171590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6000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F</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微导管 Microcatheter</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美国史赛克</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M0031681890、M0031681810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3142</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G</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钛合金脑动脉瘤夹（临时）</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蛇牌</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FT210T/FT220T/FT250T/FT260T/FT252T/FT262T</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枚</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3000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H</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一次性使用组织牵开扩张导管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长沙科众</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QKIII-13070、QKIII-16090、QKIIIC-13070、QKIII-16090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40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27800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16</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I</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导管鞘</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苏州中天</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各规格</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9800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17</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J</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可解脱栓塞弹簧圈</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上海微创神通</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各规格</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12300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K</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颅内支架系统</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法国Microvention</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各规格</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45000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spacing w:line="360" w:lineRule="auto"/>
        <w:ind w:firstLine="422" w:firstLineChars="200"/>
        <w:rPr>
          <w:rFonts w:hint="eastAsia" w:ascii="宋体" w:hAnsi="宋体" w:cs="宋体"/>
          <w:b/>
          <w:bCs/>
          <w:color w:val="auto"/>
          <w:sz w:val="21"/>
          <w:szCs w:val="21"/>
        </w:rPr>
      </w:pPr>
      <w:r>
        <w:rPr>
          <w:rFonts w:ascii="宋体" w:hAnsi="宋体" w:cs="宋体"/>
          <w:b/>
          <w:bCs/>
          <w:color w:val="auto"/>
          <w:sz w:val="21"/>
          <w:szCs w:val="21"/>
        </w:rPr>
        <w:t>2</w:t>
      </w: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5"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5"/>
    </w:p>
    <w:p>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bookmarkStart w:id="26" w:name="_GoBack"/>
      <w:bookmarkEnd w:id="26"/>
      <w:r>
        <w:rPr>
          <w:rFonts w:hint="eastAsia" w:ascii="宋体" w:hAnsi="宋体" w:cs="宋体"/>
          <w:color w:val="auto"/>
          <w:sz w:val="32"/>
        </w:rPr>
        <w:t>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采购项目（三）</w:t>
      </w:r>
      <w:r>
        <w:rPr>
          <w:rFonts w:hint="eastAsia" w:ascii="宋体" w:hAnsi="宋体"/>
          <w:color w:val="auto"/>
          <w:sz w:val="24"/>
        </w:rPr>
        <w:t>的采购文件（项目编号：</w:t>
      </w:r>
      <w:r>
        <w:rPr>
          <w:rFonts w:hint="eastAsia" w:hAnsi="宋体"/>
          <w:color w:val="auto"/>
          <w:sz w:val="24"/>
          <w:u w:val="single"/>
          <w:lang w:eastAsia="zh-CN"/>
        </w:rPr>
        <w:t>LHZXYY-XYHC-2023-0</w:t>
      </w:r>
      <w:r>
        <w:rPr>
          <w:rFonts w:hint="eastAsia" w:hAnsi="宋体"/>
          <w:color w:val="auto"/>
          <w:sz w:val="24"/>
          <w:u w:val="single"/>
          <w:lang w:val="en-US" w:eastAsia="zh-CN"/>
        </w:rPr>
        <w:t>3</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highlight w:val="none"/>
          <w:u w:val="single"/>
          <w:lang w:eastAsia="zh-CN"/>
        </w:rPr>
        <w:t>三</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LHZXYY-XYHC-2023-03</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3"/>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采购项目（三）</w:t>
      </w:r>
      <w:r>
        <w:rPr>
          <w:rFonts w:hint="eastAsia" w:ascii="宋体" w:hAnsi="宋体"/>
          <w:color w:val="auto"/>
          <w:sz w:val="24"/>
        </w:rPr>
        <w:t>（项目编号：</w:t>
      </w:r>
      <w:r>
        <w:rPr>
          <w:rFonts w:hint="eastAsia" w:hAnsi="宋体"/>
          <w:color w:val="auto"/>
          <w:sz w:val="24"/>
          <w:u w:val="single"/>
          <w:lang w:eastAsia="zh-CN"/>
        </w:rPr>
        <w:t>LHZXYY-XYHC-2023-0</w:t>
      </w:r>
      <w:r>
        <w:rPr>
          <w:rFonts w:hint="eastAsia" w:hAnsi="宋体"/>
          <w:color w:val="auto"/>
          <w:sz w:val="24"/>
          <w:u w:val="single"/>
          <w:lang w:val="en-US" w:eastAsia="zh-CN"/>
        </w:rPr>
        <w:t>3</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8"/>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5161"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2"/>
        <w:gridCol w:w="879"/>
        <w:gridCol w:w="1923"/>
        <w:gridCol w:w="2051"/>
        <w:gridCol w:w="1662"/>
        <w:gridCol w:w="1662"/>
        <w:gridCol w:w="1807"/>
        <w:gridCol w:w="812"/>
        <w:gridCol w:w="852"/>
        <w:gridCol w:w="867"/>
        <w:gridCol w:w="967"/>
        <w:gridCol w:w="9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712" w:type="dxa"/>
            <w:noWrap w:val="0"/>
            <w:vAlign w:val="center"/>
          </w:tcPr>
          <w:p>
            <w:pPr>
              <w:jc w:val="center"/>
              <w:rPr>
                <w:rFonts w:hint="eastAsia"/>
                <w:b/>
                <w:bCs/>
                <w:color w:val="auto"/>
              </w:rPr>
            </w:pPr>
            <w:r>
              <w:rPr>
                <w:rFonts w:hint="eastAsia"/>
                <w:b/>
                <w:bCs/>
                <w:color w:val="auto"/>
              </w:rPr>
              <w:t>序号</w:t>
            </w:r>
          </w:p>
        </w:tc>
        <w:tc>
          <w:tcPr>
            <w:tcW w:w="879" w:type="dxa"/>
            <w:noWrap w:val="0"/>
            <w:vAlign w:val="center"/>
          </w:tcPr>
          <w:p>
            <w:pPr>
              <w:jc w:val="center"/>
              <w:rPr>
                <w:rFonts w:hint="eastAsia"/>
                <w:b/>
                <w:bCs/>
                <w:color w:val="auto"/>
              </w:rPr>
            </w:pPr>
            <w:r>
              <w:rPr>
                <w:rFonts w:hint="eastAsia"/>
                <w:b/>
                <w:bCs/>
                <w:color w:val="auto"/>
              </w:rPr>
              <w:t>包号</w:t>
            </w:r>
          </w:p>
        </w:tc>
        <w:tc>
          <w:tcPr>
            <w:tcW w:w="1923" w:type="dxa"/>
            <w:noWrap w:val="0"/>
            <w:vAlign w:val="center"/>
          </w:tcPr>
          <w:p>
            <w:pPr>
              <w:jc w:val="center"/>
              <w:rPr>
                <w:rFonts w:hint="eastAsia"/>
                <w:b/>
                <w:bCs/>
                <w:color w:val="auto"/>
              </w:rPr>
            </w:pPr>
            <w:r>
              <w:rPr>
                <w:rFonts w:hint="eastAsia"/>
                <w:b/>
                <w:bCs/>
                <w:color w:val="auto"/>
              </w:rPr>
              <w:t>医用耗材名称</w:t>
            </w:r>
          </w:p>
        </w:tc>
        <w:tc>
          <w:tcPr>
            <w:tcW w:w="2051" w:type="dxa"/>
            <w:noWrap w:val="0"/>
            <w:vAlign w:val="center"/>
          </w:tcPr>
          <w:p>
            <w:pPr>
              <w:jc w:val="center"/>
              <w:rPr>
                <w:rFonts w:hint="eastAsia"/>
                <w:b/>
                <w:bCs/>
                <w:color w:val="auto"/>
              </w:rPr>
            </w:pPr>
            <w:r>
              <w:rPr>
                <w:rFonts w:hint="eastAsia"/>
                <w:b/>
                <w:bCs/>
                <w:color w:val="auto"/>
              </w:rPr>
              <w:t>产品注册证名称</w:t>
            </w:r>
          </w:p>
        </w:tc>
        <w:tc>
          <w:tcPr>
            <w:tcW w:w="1662" w:type="dxa"/>
            <w:noWrap w:val="0"/>
            <w:vAlign w:val="center"/>
          </w:tcPr>
          <w:p>
            <w:pPr>
              <w:jc w:val="center"/>
              <w:rPr>
                <w:rFonts w:hint="eastAsia" w:eastAsia="宋体"/>
                <w:b/>
                <w:bCs/>
                <w:color w:val="auto"/>
                <w:lang w:eastAsia="zh-CN"/>
              </w:rPr>
            </w:pPr>
            <w:r>
              <w:rPr>
                <w:rFonts w:hint="eastAsia"/>
                <w:b/>
                <w:bCs/>
                <w:color w:val="auto"/>
                <w:lang w:eastAsia="zh-CN"/>
              </w:rPr>
              <w:t>注册证号</w:t>
            </w:r>
          </w:p>
        </w:tc>
        <w:tc>
          <w:tcPr>
            <w:tcW w:w="1662" w:type="dxa"/>
            <w:noWrap w:val="0"/>
            <w:vAlign w:val="center"/>
          </w:tcPr>
          <w:p>
            <w:pPr>
              <w:jc w:val="center"/>
              <w:rPr>
                <w:b/>
                <w:bCs/>
                <w:color w:val="auto"/>
              </w:rPr>
            </w:pPr>
            <w:r>
              <w:rPr>
                <w:rFonts w:hint="eastAsia"/>
                <w:b/>
                <w:bCs/>
                <w:color w:val="auto"/>
              </w:rPr>
              <w:t>产品实际的外包装名称</w:t>
            </w:r>
          </w:p>
        </w:tc>
        <w:tc>
          <w:tcPr>
            <w:tcW w:w="1807" w:type="dxa"/>
            <w:noWrap w:val="0"/>
            <w:vAlign w:val="center"/>
          </w:tcPr>
          <w:p>
            <w:pPr>
              <w:jc w:val="center"/>
              <w:rPr>
                <w:rFonts w:hint="eastAsia"/>
                <w:b/>
                <w:bCs/>
                <w:color w:val="auto"/>
              </w:rPr>
            </w:pPr>
            <w:r>
              <w:rPr>
                <w:rFonts w:hint="eastAsia"/>
                <w:b/>
                <w:bCs/>
                <w:color w:val="auto"/>
              </w:rPr>
              <w:t>产品实际外包装规格型号</w:t>
            </w:r>
          </w:p>
        </w:tc>
        <w:tc>
          <w:tcPr>
            <w:tcW w:w="812" w:type="dxa"/>
            <w:noWrap w:val="0"/>
            <w:vAlign w:val="center"/>
          </w:tcPr>
          <w:p>
            <w:pPr>
              <w:jc w:val="center"/>
              <w:rPr>
                <w:b/>
                <w:bCs/>
                <w:color w:val="auto"/>
              </w:rPr>
            </w:pPr>
            <w:r>
              <w:rPr>
                <w:rFonts w:hint="eastAsia"/>
                <w:b/>
                <w:bCs/>
                <w:color w:val="auto"/>
              </w:rPr>
              <w:t>计量单位</w:t>
            </w:r>
          </w:p>
        </w:tc>
        <w:tc>
          <w:tcPr>
            <w:tcW w:w="852" w:type="dxa"/>
            <w:noWrap w:val="0"/>
            <w:vAlign w:val="center"/>
          </w:tcPr>
          <w:p>
            <w:pPr>
              <w:jc w:val="center"/>
              <w:rPr>
                <w:rFonts w:hint="eastAsia"/>
                <w:b/>
                <w:bCs/>
                <w:color w:val="auto"/>
              </w:rPr>
            </w:pPr>
            <w:r>
              <w:rPr>
                <w:rFonts w:hint="eastAsia"/>
                <w:b/>
                <w:bCs/>
                <w:color w:val="auto"/>
              </w:rPr>
              <w:t>生产企业</w:t>
            </w:r>
          </w:p>
        </w:tc>
        <w:tc>
          <w:tcPr>
            <w:tcW w:w="867" w:type="dxa"/>
            <w:noWrap w:val="0"/>
            <w:vAlign w:val="center"/>
          </w:tcPr>
          <w:p>
            <w:pPr>
              <w:jc w:val="center"/>
              <w:rPr>
                <w:rFonts w:hint="eastAsia"/>
                <w:b/>
                <w:bCs/>
                <w:color w:val="auto"/>
              </w:rPr>
            </w:pPr>
            <w:r>
              <w:rPr>
                <w:rFonts w:hint="eastAsia"/>
                <w:b/>
                <w:bCs/>
                <w:color w:val="auto"/>
              </w:rPr>
              <w:t>产品包装规格</w:t>
            </w:r>
          </w:p>
        </w:tc>
        <w:tc>
          <w:tcPr>
            <w:tcW w:w="967" w:type="dxa"/>
            <w:noWrap w:val="0"/>
            <w:vAlign w:val="center"/>
          </w:tcPr>
          <w:p>
            <w:pPr>
              <w:jc w:val="center"/>
              <w:rPr>
                <w:rFonts w:hint="eastAsia"/>
                <w:b/>
                <w:bCs/>
                <w:color w:val="auto"/>
              </w:rPr>
            </w:pPr>
            <w:r>
              <w:rPr>
                <w:rFonts w:hint="eastAsia"/>
                <w:b/>
                <w:bCs/>
                <w:color w:val="auto"/>
              </w:rPr>
              <w:t>单价（元）</w:t>
            </w:r>
          </w:p>
        </w:tc>
        <w:tc>
          <w:tcPr>
            <w:tcW w:w="967"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2" w:type="dxa"/>
            <w:noWrap w:val="0"/>
            <w:vAlign w:val="center"/>
          </w:tcPr>
          <w:p>
            <w:pPr>
              <w:spacing w:line="360" w:lineRule="auto"/>
              <w:jc w:val="center"/>
              <w:rPr>
                <w:rFonts w:ascii="Times New Roman" w:hAnsi="Times New Roman"/>
                <w:color w:val="auto"/>
                <w:sz w:val="24"/>
              </w:rPr>
            </w:pPr>
          </w:p>
        </w:tc>
        <w:tc>
          <w:tcPr>
            <w:tcW w:w="879" w:type="dxa"/>
            <w:noWrap w:val="0"/>
            <w:vAlign w:val="top"/>
          </w:tcPr>
          <w:p>
            <w:pPr>
              <w:spacing w:line="360" w:lineRule="auto"/>
              <w:jc w:val="center"/>
              <w:rPr>
                <w:rFonts w:hint="eastAsia"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12" w:type="dxa"/>
            <w:noWrap w:val="0"/>
            <w:vAlign w:val="center"/>
          </w:tcPr>
          <w:p>
            <w:pPr>
              <w:spacing w:line="360" w:lineRule="auto"/>
              <w:jc w:val="center"/>
              <w:rPr>
                <w:rFonts w:ascii="Times New Roman" w:hAnsi="Times New Roman"/>
                <w:bCs/>
                <w:color w:val="auto"/>
                <w:sz w:val="24"/>
              </w:rPr>
            </w:pPr>
          </w:p>
        </w:tc>
        <w:tc>
          <w:tcPr>
            <w:tcW w:w="879" w:type="dxa"/>
            <w:noWrap w:val="0"/>
            <w:vAlign w:val="top"/>
          </w:tcPr>
          <w:p>
            <w:pPr>
              <w:spacing w:line="360" w:lineRule="auto"/>
              <w:jc w:val="center"/>
              <w:rPr>
                <w:rFonts w:hint="eastAsia"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12" w:type="dxa"/>
            <w:noWrap w:val="0"/>
            <w:vAlign w:val="center"/>
          </w:tcPr>
          <w:p>
            <w:pPr>
              <w:spacing w:line="360" w:lineRule="auto"/>
              <w:jc w:val="center"/>
              <w:rPr>
                <w:rFonts w:ascii="Times New Roman" w:hAnsi="Times New Roman"/>
                <w:bCs/>
                <w:color w:val="auto"/>
                <w:sz w:val="24"/>
              </w:rPr>
            </w:pPr>
          </w:p>
        </w:tc>
        <w:tc>
          <w:tcPr>
            <w:tcW w:w="879" w:type="dxa"/>
            <w:noWrap w:val="0"/>
            <w:vAlign w:val="top"/>
          </w:tcPr>
          <w:p>
            <w:pPr>
              <w:spacing w:line="360" w:lineRule="auto"/>
              <w:jc w:val="center"/>
              <w:rPr>
                <w:rFonts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rFonts w:hint="eastAsia"/>
          <w:color w:val="auto"/>
          <w:sz w:val="21"/>
          <w:szCs w:val="21"/>
        </w:rPr>
        <w:t>注：</w:t>
      </w:r>
      <w:bookmarkStart w:id="16" w:name="_Hlk128682415"/>
      <w:r>
        <w:rPr>
          <w:rFonts w:hint="eastAsia"/>
          <w:color w:val="auto"/>
          <w:sz w:val="21"/>
          <w:szCs w:val="21"/>
        </w:rPr>
        <w:t>1.“序号”、“包号”、“医用耗材名称”、“计量单位”、“生产企业”均以第二章货物需求“货物需求清单”所列内容为准进行填写；“数量”填写第二章货物需求“货物需求清单”所列“预计采购数量”；</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外包装名称”必须与实际外包装名称一致,如外包装是全英文的，就写英文；要求20个汉字、符号或字母以内；“产品实际外包装规格型号”如实填写；“产品包装规格”填写“计量单位”到“最小包装单位”，如：“1支/包,50包/盒”；</w:t>
      </w:r>
      <w:bookmarkEnd w:id="16"/>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4"/>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5"/>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8"/>
      </w:pPr>
    </w:p>
    <w:p>
      <w:pPr>
        <w:pStyle w:val="8"/>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4"/>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7"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7"/>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8"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8"/>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19"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19"/>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0"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0"/>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1"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1"/>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2"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3"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3"/>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4"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4"/>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5"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5"/>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E2071CB2"/>
    <w:multiLevelType w:val="singleLevel"/>
    <w:tmpl w:val="E2071CB2"/>
    <w:lvl w:ilvl="0" w:tentative="0">
      <w:start w:val="8"/>
      <w:numFmt w:val="chineseCounting"/>
      <w:suff w:val="nothing"/>
      <w:lvlText w:val="%1、"/>
      <w:lvlJc w:val="left"/>
      <w:rPr>
        <w:rFonts w:hint="eastAsia"/>
      </w:rPr>
    </w:lvl>
  </w:abstractNum>
  <w:abstractNum w:abstractNumId="3">
    <w:nsid w:val="F8712F8D"/>
    <w:multiLevelType w:val="singleLevel"/>
    <w:tmpl w:val="F8712F8D"/>
    <w:lvl w:ilvl="0" w:tentative="0">
      <w:start w:val="11"/>
      <w:numFmt w:val="chineseCounting"/>
      <w:suff w:val="nothing"/>
      <w:lvlText w:val="%1、"/>
      <w:lvlJc w:val="left"/>
      <w:rPr>
        <w:rFonts w:hint="eastAsia"/>
      </w:rPr>
    </w:lvl>
  </w:abstractNum>
  <w:abstractNum w:abstractNumId="4">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MTc5ZWYyOWYzYzRkZmI0ZGFjMmFmNTlmMDFkNGM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2A87DD2"/>
    <w:rsid w:val="02D536F9"/>
    <w:rsid w:val="03241D96"/>
    <w:rsid w:val="034309DD"/>
    <w:rsid w:val="04BB1D35"/>
    <w:rsid w:val="04BC3C04"/>
    <w:rsid w:val="078F24AF"/>
    <w:rsid w:val="07EF2560"/>
    <w:rsid w:val="07EF46DA"/>
    <w:rsid w:val="09365842"/>
    <w:rsid w:val="099734A3"/>
    <w:rsid w:val="09D56921"/>
    <w:rsid w:val="0B0C0CBB"/>
    <w:rsid w:val="0B6108AF"/>
    <w:rsid w:val="0CC646E6"/>
    <w:rsid w:val="0D8D29CB"/>
    <w:rsid w:val="0E593567"/>
    <w:rsid w:val="0F8317BD"/>
    <w:rsid w:val="10435315"/>
    <w:rsid w:val="13345697"/>
    <w:rsid w:val="15433117"/>
    <w:rsid w:val="158B596F"/>
    <w:rsid w:val="15B05167"/>
    <w:rsid w:val="16821794"/>
    <w:rsid w:val="18E137F3"/>
    <w:rsid w:val="1A7647E7"/>
    <w:rsid w:val="1B904522"/>
    <w:rsid w:val="1BEF3F11"/>
    <w:rsid w:val="1CE32891"/>
    <w:rsid w:val="1D230C56"/>
    <w:rsid w:val="1D997423"/>
    <w:rsid w:val="1E774C45"/>
    <w:rsid w:val="20A4360F"/>
    <w:rsid w:val="22752E64"/>
    <w:rsid w:val="23360B3D"/>
    <w:rsid w:val="235065E9"/>
    <w:rsid w:val="23A35AC0"/>
    <w:rsid w:val="24E101D1"/>
    <w:rsid w:val="251F4F14"/>
    <w:rsid w:val="25874E29"/>
    <w:rsid w:val="274549CC"/>
    <w:rsid w:val="27AF06B2"/>
    <w:rsid w:val="2AB87E81"/>
    <w:rsid w:val="2ADD3C0D"/>
    <w:rsid w:val="2B571DC8"/>
    <w:rsid w:val="2B92239A"/>
    <w:rsid w:val="2D1A1DE7"/>
    <w:rsid w:val="2E831F4B"/>
    <w:rsid w:val="2E8D6FE7"/>
    <w:rsid w:val="2F3A3D3C"/>
    <w:rsid w:val="2F877C60"/>
    <w:rsid w:val="32F742BF"/>
    <w:rsid w:val="337F6E52"/>
    <w:rsid w:val="34B87D8D"/>
    <w:rsid w:val="354546B1"/>
    <w:rsid w:val="35613996"/>
    <w:rsid w:val="37AA40C2"/>
    <w:rsid w:val="37CC094C"/>
    <w:rsid w:val="38995E18"/>
    <w:rsid w:val="38E72296"/>
    <w:rsid w:val="3A3F1290"/>
    <w:rsid w:val="3AC61DB7"/>
    <w:rsid w:val="3B365BA1"/>
    <w:rsid w:val="3BAC26EF"/>
    <w:rsid w:val="3BAD3B3F"/>
    <w:rsid w:val="3C442F4E"/>
    <w:rsid w:val="3D2D4B0C"/>
    <w:rsid w:val="3D872A51"/>
    <w:rsid w:val="3DEF61C7"/>
    <w:rsid w:val="3F8E13C3"/>
    <w:rsid w:val="40013D8E"/>
    <w:rsid w:val="40531FA6"/>
    <w:rsid w:val="42416A1D"/>
    <w:rsid w:val="44000F82"/>
    <w:rsid w:val="449E2BE4"/>
    <w:rsid w:val="44F97CF4"/>
    <w:rsid w:val="4665444A"/>
    <w:rsid w:val="46D12EDF"/>
    <w:rsid w:val="470143FE"/>
    <w:rsid w:val="47083DB4"/>
    <w:rsid w:val="476268A0"/>
    <w:rsid w:val="49332A4B"/>
    <w:rsid w:val="4B0E0981"/>
    <w:rsid w:val="4BE5404D"/>
    <w:rsid w:val="4BE74B88"/>
    <w:rsid w:val="4D060E28"/>
    <w:rsid w:val="4D0A51FD"/>
    <w:rsid w:val="4D5B12F4"/>
    <w:rsid w:val="4EAD187E"/>
    <w:rsid w:val="4ECA418C"/>
    <w:rsid w:val="4FBB1F83"/>
    <w:rsid w:val="503841C0"/>
    <w:rsid w:val="53146A66"/>
    <w:rsid w:val="534A62BA"/>
    <w:rsid w:val="53C00CB0"/>
    <w:rsid w:val="54805394"/>
    <w:rsid w:val="54BB7492"/>
    <w:rsid w:val="54DA7145"/>
    <w:rsid w:val="54FB77E7"/>
    <w:rsid w:val="5531151C"/>
    <w:rsid w:val="558A2919"/>
    <w:rsid w:val="55A62403"/>
    <w:rsid w:val="56C96783"/>
    <w:rsid w:val="574A08A6"/>
    <w:rsid w:val="5822279A"/>
    <w:rsid w:val="58775D4B"/>
    <w:rsid w:val="5AF82C61"/>
    <w:rsid w:val="5B4A1567"/>
    <w:rsid w:val="5B547043"/>
    <w:rsid w:val="5B9C5BD2"/>
    <w:rsid w:val="5C187D8C"/>
    <w:rsid w:val="5D8B3B88"/>
    <w:rsid w:val="5EA47900"/>
    <w:rsid w:val="6095259B"/>
    <w:rsid w:val="615E5832"/>
    <w:rsid w:val="61C84EF5"/>
    <w:rsid w:val="62104EDF"/>
    <w:rsid w:val="623D1B1E"/>
    <w:rsid w:val="628A41A8"/>
    <w:rsid w:val="63273904"/>
    <w:rsid w:val="637C10B3"/>
    <w:rsid w:val="63B17435"/>
    <w:rsid w:val="63E842AA"/>
    <w:rsid w:val="64750A9E"/>
    <w:rsid w:val="64C203E2"/>
    <w:rsid w:val="65640A91"/>
    <w:rsid w:val="65BC5C6A"/>
    <w:rsid w:val="66035AA8"/>
    <w:rsid w:val="662B4868"/>
    <w:rsid w:val="66912F14"/>
    <w:rsid w:val="66DE6971"/>
    <w:rsid w:val="67515045"/>
    <w:rsid w:val="67E06685"/>
    <w:rsid w:val="68C44CF8"/>
    <w:rsid w:val="68E1689C"/>
    <w:rsid w:val="6A350974"/>
    <w:rsid w:val="6A4C4226"/>
    <w:rsid w:val="6AE6503B"/>
    <w:rsid w:val="6CF40CBA"/>
    <w:rsid w:val="6D1877CD"/>
    <w:rsid w:val="6DDA2A8F"/>
    <w:rsid w:val="6E176CE4"/>
    <w:rsid w:val="6E930639"/>
    <w:rsid w:val="6E963C85"/>
    <w:rsid w:val="71713BD6"/>
    <w:rsid w:val="71924386"/>
    <w:rsid w:val="71CE58F0"/>
    <w:rsid w:val="71E556D5"/>
    <w:rsid w:val="73880040"/>
    <w:rsid w:val="73D84C02"/>
    <w:rsid w:val="743E4EE8"/>
    <w:rsid w:val="74A62F57"/>
    <w:rsid w:val="74BD38B3"/>
    <w:rsid w:val="75027525"/>
    <w:rsid w:val="751D4412"/>
    <w:rsid w:val="756020D7"/>
    <w:rsid w:val="75F84CBB"/>
    <w:rsid w:val="76276A6E"/>
    <w:rsid w:val="763C17C9"/>
    <w:rsid w:val="77BA20C7"/>
    <w:rsid w:val="781500F7"/>
    <w:rsid w:val="7831514A"/>
    <w:rsid w:val="7946709B"/>
    <w:rsid w:val="79D33BAE"/>
    <w:rsid w:val="7B413E46"/>
    <w:rsid w:val="7BDF7DFC"/>
    <w:rsid w:val="7C292C93"/>
    <w:rsid w:val="7D20673C"/>
    <w:rsid w:val="7D2635FE"/>
    <w:rsid w:val="7DF93FF2"/>
    <w:rsid w:val="7E6C5322"/>
    <w:rsid w:val="7EA877E8"/>
    <w:rsid w:val="7F361E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12544</Words>
  <Characters>13589</Characters>
  <Lines>119</Lines>
  <Paragraphs>33</Paragraphs>
  <TotalTime>7</TotalTime>
  <ScaleCrop>false</ScaleCrop>
  <LinksUpToDate>false</LinksUpToDate>
  <CharactersWithSpaces>14174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LA-24lin</cp:lastModifiedBy>
  <cp:lastPrinted>2023-03-14T07:28:00Z</cp:lastPrinted>
  <dcterms:modified xsi:type="dcterms:W3CDTF">2023-05-23T00:34:02Z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93250713A5FC46869AE90D8902E1827D_13</vt:lpwstr>
  </property>
</Properties>
</file>