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6" w:name="_GoBack"/>
      <w:bookmarkEnd w:id="26"/>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十三</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13</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32"/>
      <w:bookmarkStart w:id="1" w:name="_Toc17800307"/>
      <w:bookmarkStart w:id="2" w:name="_Toc58354539"/>
      <w:bookmarkStart w:id="3" w:name="_Toc17799794"/>
      <w:bookmarkStart w:id="4" w:name="_Toc1780008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采购项目（十三）</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13</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9</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799797"/>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693"/>
        <w:gridCol w:w="1782"/>
        <w:gridCol w:w="1549"/>
        <w:gridCol w:w="1155"/>
        <w:gridCol w:w="750"/>
        <w:gridCol w:w="990"/>
        <w:gridCol w:w="1303"/>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浙江灵洋医疗器械有限公司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1000ml A 双通</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一次性灌肠冲洗器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广州花山医用塑料厂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1000ML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体外吸引连接管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扬州市桂龙医疗器械有限公司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条纹</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一次性使用负压引流器</w:t>
            </w:r>
            <w:r>
              <w:rPr>
                <w:rFonts w:hint="eastAsia" w:ascii="宋体" w:hAnsi="宋体" w:cs="宋体"/>
                <w:i w:val="0"/>
                <w:iCs w:val="0"/>
                <w:color w:val="000000"/>
                <w:kern w:val="2"/>
                <w:sz w:val="20"/>
                <w:szCs w:val="20"/>
                <w:u w:val="none"/>
                <w:lang w:val="en-US" w:eastAsia="zh-CN" w:bidi="ar-SA"/>
              </w:rPr>
              <w:t>(瓶)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江苏华夏医疗器械有限公司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白色（吹塑风琴式）</w:t>
            </w:r>
            <w:r>
              <w:rPr>
                <w:rFonts w:hint="eastAsia" w:ascii="宋体" w:hAnsi="宋体" w:cs="宋体"/>
                <w:sz w:val="20"/>
                <w:szCs w:val="20"/>
                <w:highlight w:val="none"/>
                <w:lang w:val="en-US" w:eastAsia="zh-CN"/>
              </w:rPr>
              <w:t>or 500ml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备皮刀</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广州市灵洋医疗器械有限公司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LY-A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把</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脱脂棉球</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佛山市华士康医疗用品有限公司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医用脱脂棉</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广州市番禺万福卫生用品有限公司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大号100粒、小号5粒、大号5粒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一次性使用输液延长管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浙江京环医疗用品有限公司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B1 1200mm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弹性绷带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广州市番禺万福卫生用品有限公司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弹力网帽型 中号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一次性使用呼吸机管路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斯莱达医疗用品（惠州）有限公司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成人1.6m带接头</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92.0000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压舌板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广州市番禺康安卫生用品厂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150mm*18mm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口腔种植用一次性使用供水管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温州市康莱方医用塑料有限公司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ZZ-01-G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一次性使用静脉营养输液袋</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上海金塔医用器材有限公司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JT-EYS-3500，输液针：0.7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吸收性明胶海绵</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江西省祥恩医疗科技发展有限公司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A型 60mm*20mm*5mm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液体敷料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唯炜澜谛（上海）商贸有限公司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等离子双极电切电凝系统（专用双极电极）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珠海市司迈科技有限公司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SM-8100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一次性包皮环切缝合器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江西狼和医疗器械股份有限公司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12型、15型、18型21型、26型、30型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尿动力管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张家港华美医疗器械有限公司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2.3mm(F7)\2.6mm(F8)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直肠测压管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张家港华美医疗器械有限公司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3.1mm（F10)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医疗废液收集装置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宁波天慈医疗设备有限公司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TC-FYSJ-F</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衡水艾泽医疗器械有限公司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肋骨固定带L\M\XL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河北豪邦医疗器械有限公司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腰椎固定带L\M\XL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衡水旭康医疗器材有限公司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肩颈腕托带中号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衡水旭康医疗器材有限公司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膝关节固定带Ⅰ型大中小</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衡水旭康医疗器材有限公司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膝关节固定带Ⅱ型大中小</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衡水旭康医疗器材有限公司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全弹力肋骨固定带XL\L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骨折固定夹板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衡水祥瑞医疗器械有限责任公司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下肢大夹板成人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骨折固定夹板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衡水祥瑞医疗器械有限责任公司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胫腓骨成人中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不限</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18*200mm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可不做医械管理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艾灸盒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佛山市康林灸具实业有限公司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一眼、两眼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可不做医械管理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腹带</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长垣县恒飞服装厂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可不做医械管理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治疗盘</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广州倍美医疗器械有限公司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可不做医械管理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治疗盘</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广州倍美医疗器械有限公司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中号、小号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可不做医械管理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喉镜盒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潮州市潮安区东凤镇新艺医疗器械厂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可不做医械管理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高效多酶清洗剂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哲米芬公司Germiphene Corporation</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1L#10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要求可分解蛋白，使用后能成膜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营养琼脂培养基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江门市凯林贸易有限公司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9cm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营养琼脂培养基（R2A型）</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广州市迪景微生物科技有限公司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9cm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肉汤培养基（含醛类消毒剂中和培养基）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温州市康泰生物科技有限公司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9ML/瓶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肉汤培养基（含洗必泰、季铵盐类消毒剂中和培养基）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温州市康泰生物科技有限公司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9ML/瓶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甲型/乙型流感病毒抗原检测试剂盒（胶体金法）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北京康彻思坦生物技术有限公司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条形单人份：20人份/盒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采购项目（十三）</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采购项目（十三）</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2A87DD2"/>
    <w:rsid w:val="02D536F9"/>
    <w:rsid w:val="03241D96"/>
    <w:rsid w:val="034309DD"/>
    <w:rsid w:val="04BB1D35"/>
    <w:rsid w:val="04BC3C04"/>
    <w:rsid w:val="04F45ECD"/>
    <w:rsid w:val="078F24AF"/>
    <w:rsid w:val="07EF2560"/>
    <w:rsid w:val="07EF46DA"/>
    <w:rsid w:val="09365842"/>
    <w:rsid w:val="095F2D63"/>
    <w:rsid w:val="096F7DC3"/>
    <w:rsid w:val="099734A3"/>
    <w:rsid w:val="09D56921"/>
    <w:rsid w:val="0B0C0CBB"/>
    <w:rsid w:val="0B4A478E"/>
    <w:rsid w:val="0B6108AF"/>
    <w:rsid w:val="0C8D47C2"/>
    <w:rsid w:val="0CC646E6"/>
    <w:rsid w:val="0D8D29CB"/>
    <w:rsid w:val="0E593567"/>
    <w:rsid w:val="0F8317BD"/>
    <w:rsid w:val="10435315"/>
    <w:rsid w:val="10C06C14"/>
    <w:rsid w:val="1288116E"/>
    <w:rsid w:val="13345697"/>
    <w:rsid w:val="14953C54"/>
    <w:rsid w:val="15433117"/>
    <w:rsid w:val="158B596F"/>
    <w:rsid w:val="15B05167"/>
    <w:rsid w:val="16821794"/>
    <w:rsid w:val="16E159B6"/>
    <w:rsid w:val="18E137F3"/>
    <w:rsid w:val="192518EC"/>
    <w:rsid w:val="1A7647E7"/>
    <w:rsid w:val="1B904522"/>
    <w:rsid w:val="1B980F3B"/>
    <w:rsid w:val="1BE4359C"/>
    <w:rsid w:val="1BEF3F11"/>
    <w:rsid w:val="1CE32891"/>
    <w:rsid w:val="1D230C56"/>
    <w:rsid w:val="1D997423"/>
    <w:rsid w:val="1E774C45"/>
    <w:rsid w:val="20163D63"/>
    <w:rsid w:val="204C0134"/>
    <w:rsid w:val="20A4360F"/>
    <w:rsid w:val="220B397A"/>
    <w:rsid w:val="22752E64"/>
    <w:rsid w:val="23101A50"/>
    <w:rsid w:val="23360B3D"/>
    <w:rsid w:val="235065E9"/>
    <w:rsid w:val="23A35AC0"/>
    <w:rsid w:val="24E101D1"/>
    <w:rsid w:val="251F4F14"/>
    <w:rsid w:val="25553977"/>
    <w:rsid w:val="25874E29"/>
    <w:rsid w:val="274549CC"/>
    <w:rsid w:val="27467DDF"/>
    <w:rsid w:val="27AF06B2"/>
    <w:rsid w:val="28E04C85"/>
    <w:rsid w:val="2AB87E81"/>
    <w:rsid w:val="2ADD3C0D"/>
    <w:rsid w:val="2B571DC8"/>
    <w:rsid w:val="2B92239A"/>
    <w:rsid w:val="2D1A1DE7"/>
    <w:rsid w:val="2E831F4B"/>
    <w:rsid w:val="2E8D6FE7"/>
    <w:rsid w:val="2ED20A5D"/>
    <w:rsid w:val="2F3A3D3C"/>
    <w:rsid w:val="2F877C60"/>
    <w:rsid w:val="307965D2"/>
    <w:rsid w:val="30D1150B"/>
    <w:rsid w:val="312020C7"/>
    <w:rsid w:val="31371E51"/>
    <w:rsid w:val="32756BD4"/>
    <w:rsid w:val="32F742BF"/>
    <w:rsid w:val="335D7BA5"/>
    <w:rsid w:val="337F6E52"/>
    <w:rsid w:val="33980F25"/>
    <w:rsid w:val="34425A0E"/>
    <w:rsid w:val="34B87D8D"/>
    <w:rsid w:val="354546B1"/>
    <w:rsid w:val="355D6BA3"/>
    <w:rsid w:val="35613996"/>
    <w:rsid w:val="36357C3B"/>
    <w:rsid w:val="37AA40C2"/>
    <w:rsid w:val="37CC094C"/>
    <w:rsid w:val="37F32AA8"/>
    <w:rsid w:val="38995E18"/>
    <w:rsid w:val="38E72296"/>
    <w:rsid w:val="3A3F1290"/>
    <w:rsid w:val="3AC61DB7"/>
    <w:rsid w:val="3B365BA1"/>
    <w:rsid w:val="3BAC26EF"/>
    <w:rsid w:val="3BAD3B3F"/>
    <w:rsid w:val="3C442F4E"/>
    <w:rsid w:val="3D2D4B0C"/>
    <w:rsid w:val="3D872A51"/>
    <w:rsid w:val="3DEF61C7"/>
    <w:rsid w:val="3F8E13C3"/>
    <w:rsid w:val="3FD610BB"/>
    <w:rsid w:val="40013D8E"/>
    <w:rsid w:val="40531FA6"/>
    <w:rsid w:val="40C2384C"/>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D00B00"/>
    <w:rsid w:val="4BE5404D"/>
    <w:rsid w:val="4BE74B88"/>
    <w:rsid w:val="4D060E28"/>
    <w:rsid w:val="4D0A51FD"/>
    <w:rsid w:val="4D5B12F4"/>
    <w:rsid w:val="4D8F4E9A"/>
    <w:rsid w:val="4EAD187E"/>
    <w:rsid w:val="4ECA418C"/>
    <w:rsid w:val="4FBB1F83"/>
    <w:rsid w:val="503841C0"/>
    <w:rsid w:val="50425543"/>
    <w:rsid w:val="53146A66"/>
    <w:rsid w:val="534A62BA"/>
    <w:rsid w:val="53C00CB0"/>
    <w:rsid w:val="54707D58"/>
    <w:rsid w:val="54805394"/>
    <w:rsid w:val="54BB7492"/>
    <w:rsid w:val="54DA7145"/>
    <w:rsid w:val="54FB77E7"/>
    <w:rsid w:val="5531151C"/>
    <w:rsid w:val="558A2919"/>
    <w:rsid w:val="558A2A21"/>
    <w:rsid w:val="55A62403"/>
    <w:rsid w:val="56C96783"/>
    <w:rsid w:val="574A08A6"/>
    <w:rsid w:val="5822279A"/>
    <w:rsid w:val="58775D4B"/>
    <w:rsid w:val="592E180D"/>
    <w:rsid w:val="593D5EF8"/>
    <w:rsid w:val="5AF82C61"/>
    <w:rsid w:val="5B4A1567"/>
    <w:rsid w:val="5B547043"/>
    <w:rsid w:val="5B9C5BD2"/>
    <w:rsid w:val="5C187D8C"/>
    <w:rsid w:val="5D8B3B88"/>
    <w:rsid w:val="5EA47900"/>
    <w:rsid w:val="5EE65064"/>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C44CF8"/>
    <w:rsid w:val="68E1689C"/>
    <w:rsid w:val="69E6588C"/>
    <w:rsid w:val="6A350974"/>
    <w:rsid w:val="6A4C4226"/>
    <w:rsid w:val="6AE6503B"/>
    <w:rsid w:val="6CC92C25"/>
    <w:rsid w:val="6CF40CBA"/>
    <w:rsid w:val="6D1877CD"/>
    <w:rsid w:val="6DDA2A8F"/>
    <w:rsid w:val="6E176CE4"/>
    <w:rsid w:val="6E930639"/>
    <w:rsid w:val="6E963C85"/>
    <w:rsid w:val="6F6A49F5"/>
    <w:rsid w:val="71367E6D"/>
    <w:rsid w:val="71713BD6"/>
    <w:rsid w:val="71924386"/>
    <w:rsid w:val="71CE58F0"/>
    <w:rsid w:val="71E556D5"/>
    <w:rsid w:val="73880040"/>
    <w:rsid w:val="73D84C02"/>
    <w:rsid w:val="743E4EE8"/>
    <w:rsid w:val="74822CE1"/>
    <w:rsid w:val="74A62F57"/>
    <w:rsid w:val="74BD38B3"/>
    <w:rsid w:val="74F31E31"/>
    <w:rsid w:val="75027525"/>
    <w:rsid w:val="751D4412"/>
    <w:rsid w:val="756020D7"/>
    <w:rsid w:val="75F84CBB"/>
    <w:rsid w:val="76276A6E"/>
    <w:rsid w:val="763C17C9"/>
    <w:rsid w:val="777D3C34"/>
    <w:rsid w:val="77BA20C7"/>
    <w:rsid w:val="781500F7"/>
    <w:rsid w:val="7831514A"/>
    <w:rsid w:val="7946709B"/>
    <w:rsid w:val="79D33BAE"/>
    <w:rsid w:val="7B2A3451"/>
    <w:rsid w:val="7B413E46"/>
    <w:rsid w:val="7BDF7DFC"/>
    <w:rsid w:val="7C292C93"/>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12656</Words>
  <Characters>13458</Characters>
  <Lines>119</Lines>
  <Paragraphs>33</Paragraphs>
  <TotalTime>72</TotalTime>
  <ScaleCrop>false</ScaleCrop>
  <LinksUpToDate>false</LinksUpToDate>
  <CharactersWithSpaces>14047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-木木</cp:lastModifiedBy>
  <cp:lastPrinted>2023-03-14T07:28:00Z</cp:lastPrinted>
  <dcterms:modified xsi:type="dcterms:W3CDTF">2023-08-02T03:36:21Z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7542E013C24A471B8E10A35AE1EFF318_13</vt:lpwstr>
  </property>
</Properties>
</file>