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十四</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bookmarkStart w:id="26" w:name="_GoBack"/>
      <w:bookmarkEnd w:id="26"/>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cs="宋体"/>
          <w:b/>
          <w:bCs/>
          <w:color w:val="auto"/>
          <w:sz w:val="32"/>
          <w:szCs w:val="32"/>
          <w:highlight w:val="none"/>
          <w:lang w:val="en-US" w:eastAsia="zh-CN"/>
        </w:rPr>
        <w:t>14</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32"/>
      <w:bookmarkStart w:id="2" w:name="_Toc17800307"/>
      <w:bookmarkStart w:id="3" w:name="_Toc1780008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采购项目（十四）</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w:t>
      </w:r>
      <w:r>
        <w:rPr>
          <w:rFonts w:hint="eastAsia" w:ascii="宋体" w:hAnsi="宋体"/>
          <w:color w:val="auto"/>
          <w:sz w:val="21"/>
          <w:szCs w:val="21"/>
          <w:lang w:val="en-US" w:eastAsia="zh-CN"/>
        </w:rPr>
        <w:t>14</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eastAsia="zh-CN"/>
        </w:rPr>
        <w:t>李</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303"/>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清洗棒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CleanCart 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bidi="ar"/>
              </w:rPr>
              <w:t>适用AK98和ARTIS透析装置水路消毒。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清洗棒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CleanCart 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适用AK98和ARTIS透析装置水路消毒。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一次性使用带滤器补液装置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ULTRA HDF Line</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超滤器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U9000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1500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830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一次性使用血液透析管路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百特金宝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ARTISET PREPOST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auto"/>
                <w:kern w:val="2"/>
                <w:sz w:val="20"/>
                <w:szCs w:val="20"/>
                <w:highlight w:val="yellow"/>
                <w:lang w:val="en-US" w:eastAsia="zh-CN" w:bidi="ar-SA"/>
              </w:rPr>
            </w:pPr>
            <w:r>
              <w:rPr>
                <w:rFonts w:hint="eastAsia" w:ascii="宋体" w:hAnsi="宋体" w:cs="宋体"/>
                <w:color w:val="auto"/>
                <w:sz w:val="20"/>
                <w:szCs w:val="20"/>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16000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100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适用AK98和ARTIS透析机。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rPr>
              <w:t>一次性使用血液透析器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rPr>
              <w:t>广州市恩德氏医疗制品实业有限公司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rPr>
              <w:t>HF16、HF18 及全型号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98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医用喉罩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河南驼人医疗器械集团有限公司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普通型3.0/40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医用喉罩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kern w:val="2"/>
                <w:sz w:val="20"/>
                <w:szCs w:val="20"/>
                <w:lang w:val="en-US" w:eastAsia="zh-CN" w:bidi="ar-SA"/>
              </w:rPr>
            </w:pPr>
            <w:r>
              <w:rPr>
                <w:rFonts w:hint="eastAsia" w:ascii="宋体" w:hAnsi="宋体" w:cs="宋体"/>
                <w:sz w:val="20"/>
                <w:szCs w:val="20"/>
              </w:rPr>
              <w:t>河南驼人医疗器械集团有限公司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LM-TNS 3 0/4 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微波热凝消融针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南京长城医疗设备有限公司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XR-A1608W、XR-A1818W</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8800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骨水泥</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贺利氏医疗有限公司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1300</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人工关节用骨水泥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吸收性明胶海绵</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江西省祥恩医疗科技发展有限公司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A型 60mm*20mm*5mm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7.8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0"/>
                <w:szCs w:val="20"/>
                <w:lang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液体敷料</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唯炜澜谛（上海）商贸有限公司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64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79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0"/>
                <w:szCs w:val="20"/>
                <w:lang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小针刀</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保定华有医疗器械有限公司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I-3、I-4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一次性埋线针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镇江高冠医疗器械有限公司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无菌手术刀片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上海浦东金环医疗用品股份有限公司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35000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0.46</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高效多酶清洗剂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哲米芬公司Germiphene Corporation</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1L#10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w:t>
            </w:r>
          </w:p>
        </w:tc>
        <w:tc>
          <w:tcPr>
            <w:tcW w:w="1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要求可分解蛋白，使用后能成膜</w:t>
            </w: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采购项目（十四）</w:t>
      </w:r>
      <w:r>
        <w:rPr>
          <w:rFonts w:hint="eastAsia" w:ascii="宋体" w:hAnsi="宋体"/>
          <w:color w:val="auto"/>
          <w:sz w:val="24"/>
        </w:rPr>
        <w:t>的采购文件（项目编号：</w:t>
      </w:r>
      <w:r>
        <w:rPr>
          <w:rFonts w:hint="eastAsia" w:hAnsi="宋体"/>
          <w:color w:val="auto"/>
          <w:sz w:val="24"/>
          <w:u w:val="single"/>
          <w:lang w:eastAsia="zh-CN"/>
        </w:rPr>
        <w:t>LHZXYY-XYHC-2023-</w:t>
      </w:r>
      <w:r>
        <w:rPr>
          <w:rFonts w:hint="eastAsia" w:hAnsi="宋体"/>
          <w:color w:val="auto"/>
          <w:sz w:val="24"/>
          <w:u w:val="single"/>
          <w:lang w:val="en-US" w:eastAsia="zh-CN"/>
        </w:rPr>
        <w:t>14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LHZXYY-XYHC-2023-14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采购项目（十四）</w:t>
      </w:r>
      <w:r>
        <w:rPr>
          <w:rFonts w:hint="eastAsia" w:ascii="宋体" w:hAnsi="宋体"/>
          <w:color w:val="auto"/>
          <w:sz w:val="24"/>
        </w:rPr>
        <w:t>（项目编号：</w:t>
      </w:r>
      <w:r>
        <w:rPr>
          <w:rFonts w:hint="eastAsia" w:hAnsi="宋体"/>
          <w:color w:val="auto"/>
          <w:sz w:val="24"/>
          <w:u w:val="single"/>
          <w:lang w:eastAsia="zh-CN"/>
        </w:rPr>
        <w:t>LHZXYY-XYHC-2023-</w:t>
      </w:r>
      <w:r>
        <w:rPr>
          <w:rFonts w:hint="eastAsia" w:hAnsi="宋体"/>
          <w:color w:val="auto"/>
          <w:sz w:val="24"/>
          <w:u w:val="single"/>
          <w:lang w:val="en-US" w:eastAsia="zh-CN"/>
        </w:rPr>
        <w:t>14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jk0ZTYxMWRlN2RjYTY1ODg0ZWM3NmMyYTAwYT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2A87DD2"/>
    <w:rsid w:val="02D536F9"/>
    <w:rsid w:val="03241D96"/>
    <w:rsid w:val="034309DD"/>
    <w:rsid w:val="04BB1D35"/>
    <w:rsid w:val="04BC3C04"/>
    <w:rsid w:val="04F45ECD"/>
    <w:rsid w:val="078F24AF"/>
    <w:rsid w:val="07DF6421"/>
    <w:rsid w:val="07EF2560"/>
    <w:rsid w:val="07EF46DA"/>
    <w:rsid w:val="09365842"/>
    <w:rsid w:val="095F2D63"/>
    <w:rsid w:val="096F7DC3"/>
    <w:rsid w:val="099734A3"/>
    <w:rsid w:val="09D56921"/>
    <w:rsid w:val="0B0C0CBB"/>
    <w:rsid w:val="0B4A478E"/>
    <w:rsid w:val="0B6108AF"/>
    <w:rsid w:val="0C8D47C2"/>
    <w:rsid w:val="0CC646E6"/>
    <w:rsid w:val="0D8D29CB"/>
    <w:rsid w:val="0DBF0B79"/>
    <w:rsid w:val="0E593567"/>
    <w:rsid w:val="0F8317BD"/>
    <w:rsid w:val="10435315"/>
    <w:rsid w:val="10C06C14"/>
    <w:rsid w:val="1288116E"/>
    <w:rsid w:val="13345697"/>
    <w:rsid w:val="14953C54"/>
    <w:rsid w:val="15433117"/>
    <w:rsid w:val="158B596F"/>
    <w:rsid w:val="15B05167"/>
    <w:rsid w:val="16821794"/>
    <w:rsid w:val="16E159B6"/>
    <w:rsid w:val="1713427F"/>
    <w:rsid w:val="18E137F3"/>
    <w:rsid w:val="192518EC"/>
    <w:rsid w:val="1A7647E7"/>
    <w:rsid w:val="1B904522"/>
    <w:rsid w:val="1B980F3B"/>
    <w:rsid w:val="1BE4359C"/>
    <w:rsid w:val="1BEF3F11"/>
    <w:rsid w:val="1CE32891"/>
    <w:rsid w:val="1D230C56"/>
    <w:rsid w:val="1D997423"/>
    <w:rsid w:val="1E774C45"/>
    <w:rsid w:val="20163D63"/>
    <w:rsid w:val="204C0134"/>
    <w:rsid w:val="20A4360F"/>
    <w:rsid w:val="220B397A"/>
    <w:rsid w:val="22752E64"/>
    <w:rsid w:val="23101A50"/>
    <w:rsid w:val="23360B3D"/>
    <w:rsid w:val="235065E9"/>
    <w:rsid w:val="23A35AC0"/>
    <w:rsid w:val="24E101D1"/>
    <w:rsid w:val="251F4F14"/>
    <w:rsid w:val="25553977"/>
    <w:rsid w:val="25874E29"/>
    <w:rsid w:val="26722306"/>
    <w:rsid w:val="274549CC"/>
    <w:rsid w:val="27467DDF"/>
    <w:rsid w:val="27AF06B2"/>
    <w:rsid w:val="28E04C85"/>
    <w:rsid w:val="28F92CBF"/>
    <w:rsid w:val="2AB87E81"/>
    <w:rsid w:val="2ADD3C0D"/>
    <w:rsid w:val="2B571DC8"/>
    <w:rsid w:val="2B92239A"/>
    <w:rsid w:val="2D1A1DE7"/>
    <w:rsid w:val="2E831F4B"/>
    <w:rsid w:val="2E8D6FE7"/>
    <w:rsid w:val="2ED20A5D"/>
    <w:rsid w:val="2F3A3D3C"/>
    <w:rsid w:val="2F877C60"/>
    <w:rsid w:val="307965D2"/>
    <w:rsid w:val="30D1150B"/>
    <w:rsid w:val="312020C7"/>
    <w:rsid w:val="31371E51"/>
    <w:rsid w:val="32756BD4"/>
    <w:rsid w:val="32CE221F"/>
    <w:rsid w:val="32F742BF"/>
    <w:rsid w:val="335D7BA5"/>
    <w:rsid w:val="337F6E52"/>
    <w:rsid w:val="33980F25"/>
    <w:rsid w:val="34425A0E"/>
    <w:rsid w:val="34B87D8D"/>
    <w:rsid w:val="354546B1"/>
    <w:rsid w:val="355D6BA3"/>
    <w:rsid w:val="35613996"/>
    <w:rsid w:val="36357C3B"/>
    <w:rsid w:val="37512C9F"/>
    <w:rsid w:val="37AA40C2"/>
    <w:rsid w:val="37CC094C"/>
    <w:rsid w:val="37F32AA8"/>
    <w:rsid w:val="38995E18"/>
    <w:rsid w:val="38E72296"/>
    <w:rsid w:val="3A3F1290"/>
    <w:rsid w:val="3AC61DB7"/>
    <w:rsid w:val="3B365BA1"/>
    <w:rsid w:val="3BAC26EF"/>
    <w:rsid w:val="3BAD3B3F"/>
    <w:rsid w:val="3C442F4E"/>
    <w:rsid w:val="3D2D4B0C"/>
    <w:rsid w:val="3D872A51"/>
    <w:rsid w:val="3DEF61C7"/>
    <w:rsid w:val="3F8E13C3"/>
    <w:rsid w:val="3FD610BB"/>
    <w:rsid w:val="40013D8E"/>
    <w:rsid w:val="40531FA6"/>
    <w:rsid w:val="40C2384C"/>
    <w:rsid w:val="42416A1D"/>
    <w:rsid w:val="435267EA"/>
    <w:rsid w:val="43EA7C4E"/>
    <w:rsid w:val="44000F82"/>
    <w:rsid w:val="449E2BE4"/>
    <w:rsid w:val="44F97CF4"/>
    <w:rsid w:val="457D04BF"/>
    <w:rsid w:val="4665444A"/>
    <w:rsid w:val="467C15C9"/>
    <w:rsid w:val="46D12EDF"/>
    <w:rsid w:val="470143FE"/>
    <w:rsid w:val="47083DB4"/>
    <w:rsid w:val="476268A0"/>
    <w:rsid w:val="47A24FCC"/>
    <w:rsid w:val="49332A4B"/>
    <w:rsid w:val="4A8E77F0"/>
    <w:rsid w:val="4B0E0981"/>
    <w:rsid w:val="4B724E07"/>
    <w:rsid w:val="4BE5404D"/>
    <w:rsid w:val="4BE74B88"/>
    <w:rsid w:val="4D060E28"/>
    <w:rsid w:val="4D0A51FD"/>
    <w:rsid w:val="4D5B12F4"/>
    <w:rsid w:val="4D8F4E9A"/>
    <w:rsid w:val="4EAD187E"/>
    <w:rsid w:val="4ECA418C"/>
    <w:rsid w:val="4FBB1F83"/>
    <w:rsid w:val="4FC217FF"/>
    <w:rsid w:val="503841C0"/>
    <w:rsid w:val="50425543"/>
    <w:rsid w:val="53146A66"/>
    <w:rsid w:val="534A62BA"/>
    <w:rsid w:val="53C00CB0"/>
    <w:rsid w:val="53F166A2"/>
    <w:rsid w:val="54707D58"/>
    <w:rsid w:val="54805394"/>
    <w:rsid w:val="54BB7492"/>
    <w:rsid w:val="54DA7145"/>
    <w:rsid w:val="54FB77E7"/>
    <w:rsid w:val="5531151C"/>
    <w:rsid w:val="558A2919"/>
    <w:rsid w:val="558A2A21"/>
    <w:rsid w:val="55A62403"/>
    <w:rsid w:val="56C96783"/>
    <w:rsid w:val="574A08A6"/>
    <w:rsid w:val="5822279A"/>
    <w:rsid w:val="58775D4B"/>
    <w:rsid w:val="592E180D"/>
    <w:rsid w:val="593D5EF8"/>
    <w:rsid w:val="5AF82C61"/>
    <w:rsid w:val="5B4A1567"/>
    <w:rsid w:val="5B547043"/>
    <w:rsid w:val="5B9C5BD2"/>
    <w:rsid w:val="5C187D8C"/>
    <w:rsid w:val="5D8B3B88"/>
    <w:rsid w:val="5EA47900"/>
    <w:rsid w:val="5EE65064"/>
    <w:rsid w:val="5F97635E"/>
    <w:rsid w:val="6095259B"/>
    <w:rsid w:val="610F2BF3"/>
    <w:rsid w:val="6142595A"/>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C74446"/>
    <w:rsid w:val="6AE6503B"/>
    <w:rsid w:val="6CC92C25"/>
    <w:rsid w:val="6CF40CBA"/>
    <w:rsid w:val="6D1877CD"/>
    <w:rsid w:val="6DDA2A8F"/>
    <w:rsid w:val="6E176CE4"/>
    <w:rsid w:val="6E930639"/>
    <w:rsid w:val="6E963C85"/>
    <w:rsid w:val="6F6A49F5"/>
    <w:rsid w:val="709E3A43"/>
    <w:rsid w:val="71367E6D"/>
    <w:rsid w:val="71713BD6"/>
    <w:rsid w:val="71924386"/>
    <w:rsid w:val="71CE58F0"/>
    <w:rsid w:val="71E556D5"/>
    <w:rsid w:val="73880040"/>
    <w:rsid w:val="73D84C02"/>
    <w:rsid w:val="743E4EE8"/>
    <w:rsid w:val="74822CE1"/>
    <w:rsid w:val="74A62F57"/>
    <w:rsid w:val="74BD38B3"/>
    <w:rsid w:val="74F31E31"/>
    <w:rsid w:val="75027525"/>
    <w:rsid w:val="751D4412"/>
    <w:rsid w:val="756020D7"/>
    <w:rsid w:val="75F84CBB"/>
    <w:rsid w:val="76276A6E"/>
    <w:rsid w:val="763C17C9"/>
    <w:rsid w:val="777D3C34"/>
    <w:rsid w:val="77842113"/>
    <w:rsid w:val="77BA20C7"/>
    <w:rsid w:val="781500F7"/>
    <w:rsid w:val="7831514A"/>
    <w:rsid w:val="7946709B"/>
    <w:rsid w:val="79D33BAE"/>
    <w:rsid w:val="7AA31401"/>
    <w:rsid w:val="7B2A3451"/>
    <w:rsid w:val="7B413E46"/>
    <w:rsid w:val="7BDF7DFC"/>
    <w:rsid w:val="7C292C93"/>
    <w:rsid w:val="7C440408"/>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12628</Words>
  <Characters>13388</Characters>
  <Lines>119</Lines>
  <Paragraphs>33</Paragraphs>
  <TotalTime>4</TotalTime>
  <ScaleCrop>false</ScaleCrop>
  <LinksUpToDate>false</LinksUpToDate>
  <CharactersWithSpaces>13981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Sunsun</cp:lastModifiedBy>
  <cp:lastPrinted>2023-08-11T00:43:00Z</cp:lastPrinted>
  <dcterms:modified xsi:type="dcterms:W3CDTF">2023-08-11T01:10:33Z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6819BFE56EEC444383DC3422F1F948C1_13</vt:lpwstr>
  </property>
</Properties>
</file>